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caps w:val="0"/>
          <w:color w:val="333333"/>
          <w:spacing w:val="0"/>
          <w:sz w:val="24"/>
          <w:szCs w:val="24"/>
          <w:shd w:val="clear" w:fill="FFFFFF"/>
        </w:rPr>
      </w:pPr>
      <w:r>
        <w:rPr>
          <w:rFonts w:hint="eastAsia" w:asciiTheme="majorEastAsia" w:hAnsiTheme="majorEastAsia" w:eastAsiaTheme="majorEastAsia" w:cstheme="majorEastAsia"/>
          <w:b/>
          <w:bCs/>
          <w:i w:val="0"/>
          <w:caps w:val="0"/>
          <w:color w:val="333333"/>
          <w:spacing w:val="0"/>
          <w:sz w:val="28"/>
          <w:szCs w:val="28"/>
          <w:shd w:val="clear" w:fill="FFFFFF"/>
        </w:rPr>
        <w:t>国内水路运输管理条例</w:t>
      </w:r>
    </w:p>
    <w:p>
      <w:pPr>
        <w:rPr>
          <w:rFonts w:hint="eastAsia" w:asciiTheme="minorEastAsia" w:hAnsiTheme="minorEastAsia" w:eastAsiaTheme="minorEastAsia" w:cstheme="minorEastAsia"/>
          <w:i w:val="0"/>
          <w:caps w:val="0"/>
          <w:color w:val="333333"/>
          <w:spacing w:val="0"/>
          <w:sz w:val="24"/>
          <w:szCs w:val="24"/>
          <w:shd w:val="clear" w:fill="FFFFFF"/>
          <w:lang w:eastAsia="zh-CN"/>
        </w:rPr>
      </w:pPr>
      <w:r>
        <w:rPr>
          <w:rFonts w:hint="eastAsia" w:asciiTheme="minorEastAsia" w:hAnsiTheme="minorEastAsia" w:eastAsiaTheme="minorEastAsia" w:cstheme="minorEastAsia"/>
          <w:i w:val="0"/>
          <w:caps w:val="0"/>
          <w:color w:val="333333"/>
          <w:spacing w:val="0"/>
          <w:sz w:val="24"/>
          <w:szCs w:val="24"/>
          <w:shd w:val="clear" w:fill="FFFFFF"/>
          <w:lang w:eastAsia="zh-CN"/>
        </w:rPr>
        <w:t>题注：</w:t>
      </w:r>
    </w:p>
    <w:p>
      <w:pPr>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 xml:space="preserve">2012年10月13日中华人民共和国国务院令第625号公布 </w:t>
      </w:r>
    </w:p>
    <w:p>
      <w:pPr>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根据2017年3月1日《国务院关于修改和废止部分行政法规的决定》（国务院令第676号）修正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第一条　为了规范国内水路运输经营行为，维护国内水路运输市场秩序，保障国内水路运输安全，促进国内水路运输业健康发展，制定本条例。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第二条　经营国内水路运输以及水路运输辅助业务，应当遵守本条例。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本条例所称国内水路运输（以下简称水路运输），是指始发港、挂靠港和目的港均在中华人民共和国管辖的通航水域内的经营性旅客运输和货物运输。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本条例所称水路运输辅助业务，是指直接为水路运输提供服务的船舶管理、船舶代理、水路旅客运输代理和水路货物运输代理等经营活动。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第三条　国家鼓励和保护水路运输市场的公平竞争，禁止垄断和不正当竞争行为。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国家运用经济、技术政策等措施，支持和鼓励水路运输经营者实行规模化、集约化经营，促进水路运输行业结构调整；支持和鼓励水路运输经营者采用先进适用的水路运输设备和技术，保障运输安全，促进节约能源，减少污染物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国家保护水路运输经营者、旅客和货主的合法权益。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第四条　国务院交通运输主管部门主管全国水路运输管理工作。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县级以上地方人民政府交通运输主管部门主管本行政区域的水路运输管理工作。县级以上地方人民政府负责水路运输管理的部门或者机构（以下统称负责水路运输管理的部门）承担本条例规定的水路运输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第五条　经营水路运输及其辅助业务，应当遵守法律、法规，诚实守信。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国务院交通运输主管部门和负责水路运输管理的部门应当依法对水路运输市场实施监督管理，对水路运输及其辅助业务的违法经营活动实施处罚，并建立经营者诚信管理制度，及时向社会公告监督检查情况。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第二章　水路运输经营者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第六条　申请经营水路运输业务，除本条例第七条规定的情形外，申请人应当符合下列条件：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（一）具备企业法人条件；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（二）有符合本条例第十三条规定的船舶，并且自有船舶运力符合国务院交通运输主管部门的规定；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（三）有明确的经营范围，其中申请经营水路旅客班轮运输业务的，还应当有可行的航线营运计划；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（四）有与其申请的经营范围和船舶运力相适应的海务、机务管理人员；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（五）与其直接订立劳动合同的高级船员占全部船员的比例符合国务院交通运输主管部门的规定；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（六）有健全的安全管理制度；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（七）法律、行政法规规定的其他条件。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第七条　个人可以申请经营内河普通货物运输业务。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申请经营内河普通货物运输业务的个人，应当有符合本条例第十三条规定且船舶吨位不超过国务院交通运输主管部门规定的自有船舶，并应当符合本条例第六条第六项、第七项规定的条件。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第八条　经营水路运输业务，应当按照国务院交通运输主管部门的规定，经国务院交通运输主管部门或者设区的市级以上地方人民政府负责水路运输管理的部门批准。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申请经营水路运输业务，应当向前款规定的负责审批的部门提交申请书和证明申请人符合本条例第六条或者第七条规定条件的相关材料。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负责审批的部门应当自受理申请之日起30个工作日内审查完毕，作出准予许可或者不予许可的决定。予以许可的，发给水路运输业务经营许可证件，并为申请人投入运营的船舶配发船舶营运证件；不予许可的，应当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取得水路运输业务经营许可的，持水路运输业务经营许可证件依法向工商行政管理机关办理登记后，方可从事水路运输经营活动。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第九条　各级交通运输主管部门应当做好水路运输市场统计和调查分析工作，定期向社会公布水路运输市场运力供需状况。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第十条　为保障水路运输安全，维护水路运输市场的公平竞争秩序，国务院交通运输主管部门可以根据水路运输市场监测情况，决定在特定的旅客班轮运输和散装液体危险货物运输航线、水域暂停新增运力许可。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采取前款规定的运力调控措施，应当符合公开、公平、公正的原则，在开始实施的60日前向社会公告，说明采取措施的理由以及采取措施的范围、期限等事项。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第十一条　外国的企业、其他经济组织和个人不得经营水路运输业务，也不得以租用中国籍船舶或者舱位等方式变相经营水路运输业务。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香港特别行政区、澳门特别行政区和台湾地区的企业、其他经济组织以及个人参照适用前款规定，国务院另有规定的除外。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第十二条　依照本条例取得许可的水路运输经营者终止经营的，应当自终止经营之日起15个工作日内向原许可机关办理注销许可手续，交回水路运输业务经营许可证件。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第十三条　水路运输经营者投入运营的船舶应当符合下列条件：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（一）与经营者的经营范围相适应；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（二）取得有效的船舶登记证书和检验证书；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（三）符合国务院交通运输主管部门关于船型技术标准和船龄的要求；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第十四条　水路运输经营者新增船舶投入运营的，应当凭水路运输业务经营许可证件、船舶登记证书和检验证书向国务院交通运输主管部门或者设区的市级以上地方人民政府负责水路运输管理的部门领取船舶营运证件。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从事水路运输经营的船舶应当随船携带船舶营运证件。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海事管理机构在现场监督检查时，发现从事水路运输的船舶不能提供有效的船舶营运证件的，应当通知有关主管部门依法处理。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第十五条　国家根据保障运输安全、保护水环境、节约能源、提高航道和通航设施利用效率的需求，制定并实施新的船型技术标准时，对正在使用的不符合新标准但符合原有标准且未达到规定报废船龄的船舶，可以采取资金补贴等措施，引导、鼓励水路运输经营者进行更新、改造；需要强制提前报废的，应当对船舶所有人给予补偿。具体办法由国务院交通运输主管部门会同国务院财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第十六条　水路运输经营者不得使用外国籍船舶经营水路运输业务。但是，在国内没有能够满足所申请运输要求的中国籍船舶，并且船舶停靠的港口或者水域为对外开放的港口或者水域的情况下，经国务院交通运输主管部门许可，水路运输经营者可以在国务院交通运输主管部门规定的期限或者航次内，临时使用外国籍船舶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在香港特别行政区、澳门特别行政区、台湾地区进行船籍登记的船舶，参照适用本条例关于外国籍船舶的规定，国务院另有规定的除外。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第三章　水路运输经营活动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第十七条　水路运输经营者应当在依法取得许可的经营范围内从事水路运输经营。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第十八条　水路运输经营者应当使用符合本条例规定条件、配备合格船员的船舶，并保证船舶处于适航状态。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水路运输经营者应当按照船舶核定载客定额或者载重量载运旅客、货物，不得超载或者使用货船载运旅客。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第十九条　水路运输经营者应当依照法律、行政法规和国务院交通运输主管部门关于水路旅客、货物运输的规定、质量标准以及合同的约定，为旅客、货主提供安全、便捷、优质的服务，保证旅客、货物运输安全。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水路旅客运输业务经营者应当为其客运船舶投保承运人责任保险或者取得相应的财务担保。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第二十条　水路运输经营者运输危险货物，应当遵守法律、行政法规以及国务院交通运输主管部门关于危险货物运输的规定，使用依法取得危险货物适装证书的船舶，按照规定的安全技术规范进行配载和运输，保证运输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第二十一条　旅客班轮运输业务经营者应当自取得班轮航线经营许可之日起60日内开航，并在开航15日前公布所使用的船舶、班期、班次、运价等信息。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旅客班轮运输应当按照公布的班期、班次运行；变更班期、班次、运价的，应当在15日前向社会公布；停止经营部分或者全部班轮航线的，应当在30日前向社会公布并报原许可机关备案。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第二十二条　货物班轮运输业务经营者应当在班轮航线开航的7日前，公布所使用的船舶以及班期、班次和运价。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货物班轮运输应当按照公布的班期、班次运行；变更班期、班次、运价或者停止经营部分或者全部班轮航线的，应当在7日前向社会公布。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第二十三条　水路运输经营者应当依照法律、行政法规和国家有关规定，优先运送处置突发事件所需的物资、设备、工具、应急救援人员和受到突发事件危害的人员，重点保障紧急、重要的军事运输。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出现关系国计民生的紧急运输需求时，国务院交通运输主管部门按照国务院的部署，可以要求水路运输经营者优先运输需要紧急运输的物资。水路运输经营者应当按照要求及时运输。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第二十四条　水路运输经营者应当按照统计法律、行政法规的规定报送统计信息。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第四章　水路运输辅助业务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第二十五条　运输船舶的所有人、经营人可以委托船舶管理业务经营者为其提供船舶海务、机务管理等服务。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第二十六条　申请经营船舶管理业务，申请人应当符合下列条件：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（一）具备企业法人条件；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（二）有健全的安全管理制度；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（三）有与其申请管理的船舶运力相适应的海务、机务管理人员；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第二十七条　经营船舶管理业务，应当经设区的市级以上地方人民政府负责水路运输管理的部门批准。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申请经营船舶管理业务，应当向前款规定的部门提交申请书和证明申请人符合本条例第二十六条规定条件的相关材料。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受理申请的部门应当自受理申请之日起30个工作日内审查完毕，作出准予许可或者不予许可的决定。予以许可的，发给船舶管理业务经营许可证件，并向国务院交通运输主管部门备案；不予许可的，应当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取得船舶管理业务经营许可的，持船舶管理业务经营许可证件依法向工商行政管理机关办理登记后，方可经营船舶管理业务。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第二十八条　船舶管理业务经营者接受委托提供船舶管理服务，应当与委托人订立书面合同，并将合同报所在地海事管理机构备案。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船舶管理业务经营者应当按照国家有关规定和合同约定履行有关船舶安全和防止污染的管理义务。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第二十九条　水路运输经营者可以委托船舶代理、水路旅客运输代理、水路货物运输代理业务的经营者，代办船舶进出港手续等港口业务，代为签订运输合同，代办旅客、货物承揽业务以及其他水路运输代理业务。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第三十条　船舶代理、水路旅客运输代理业务的经营者应当自企业设立登记之日起15个工作日内，向所在地设区的市级人民政府负责水路运输管理的部门备案。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第三十一条　船舶代理、水路旅客运输代理、水路货物运输代理业务的经营者接受委托提供代理服务，应当与委托人订立书面合同，按照国家有关规定和合同约定办理代理业务，不得强行代理，不得为未依法取得水路运输业务经营许可或者超越许可范围的经营者办理代理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第三十二条　本条例第十二条、第十七条的规定适用于船舶管理业务经营者。本条例第十一条、第二十四条的规定适用于船舶管理、船舶代理、水路旅客运输代理和水路货物运输代理业务经营活动。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国务院交通运输主管部门应当依照本条例的规定制定水路运输辅助业务的具体管理办法。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第三十三条　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第三十四条　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从事水路运输经营的船舶未随船携带船舶营运证件的，责令改正，可以处1000元以下的罚款。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第三十五条　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第三十六条　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第三十七条　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伪造、变造、涂改本条例规定的行政许可证件的，由负责水路运输管理的部门没收伪造、变造、涂改的许可证件，处3万元以上15万元以下的罚款；有违法所得的，没收违法所得。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第三十八条　水路运输经营者有下列情形之一的，由海事管理机构依法予以处罚：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（一）未按照规定配备船员或者未使船舶处于适航状态；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（二）超越船舶核定载客定额或者核定载重量载运旅客或者货物；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（三）使用货船载运旅客；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（四）使用未取得危险货物适装证书的船舶运输危险货物。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第三十九条　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第四十条　班轮运输业务经营者未提前向社会公布所使用的船舶、班期、班次和运价或者其变更信息的，由负责水路运输管理的部门责令改正，处2000元以上2万元以下的罚款。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第四十一条　旅客班轮运输业务经营者自取得班轮航线经营许可之日起60日内未开航的，由负责水路运输管理的部门责令改正；拒不改正的，由原许可机关撤销该项经营许可。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第四十二条　水路运输、船舶管理业务经营者取得许可后，不再具备本条例规定的许可条件的，由负责水路运输管理的部门责令限期整改；在规定期限内整改仍不合格的，由原许可机关撤销其经营许可。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第四十三条　负责水路运输管理的国家工作人员在水路运输管理活动中滥用职权、玩忽职守、徇私舞弊，不依法履行职责的，依法给予处分。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第四十四条　违反本条例规定，构成违反治安管理行为的，依法给予治安管理处罚；构成犯罪的，依法追究刑事责任。</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第四十五条　载客12人以下的客运船舶以及乡、镇客运渡船运输的管理办法，由省、自治区、直辖市人民政府另行制定。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第四十六条　本条例自2013年1月1日起施行。1987年5月12日国务院发布的《中华人民共和国水路运输管理条例》同时废止。</w:t>
      </w:r>
    </w:p>
    <w:p>
      <w:pPr>
        <w:rPr>
          <w:rFonts w:hint="eastAsia" w:asciiTheme="minorEastAsia" w:hAnsiTheme="minorEastAsia" w:eastAsiaTheme="minorEastAsia" w:cstheme="minorEastAsia"/>
          <w:i w:val="0"/>
          <w:caps w:val="0"/>
          <w:color w:val="333333"/>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10505"/>
    <w:rsid w:val="1D01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2020-02-19T09:32:00Z</dcterms:created>
  <dc:creator>断桥残雪</dc:creator>
  <cp:lastModifiedBy>断桥残雪</cp:lastModifiedBy>
  <dcterms:modified xsi:type="dcterms:W3CDTF">2020-02-19T09:35:22Z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