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right="0"/>
        <w:jc w:val="center"/>
        <w:rPr>
          <w:rFonts w:hint="eastAsia" w:asciiTheme="majorEastAsia" w:hAnsiTheme="majorEastAsia" w:eastAsiaTheme="majorEastAsia" w:cstheme="majorEastAsia"/>
          <w:b/>
          <w:bCs/>
          <w:sz w:val="28"/>
          <w:szCs w:val="28"/>
        </w:rPr>
      </w:pPr>
      <w:bookmarkStart w:id="0" w:name="_GoBack"/>
      <w:r>
        <w:rPr>
          <w:rFonts w:hint="eastAsia" w:asciiTheme="majorEastAsia" w:hAnsiTheme="majorEastAsia" w:eastAsiaTheme="majorEastAsia" w:cstheme="majorEastAsia"/>
          <w:b/>
          <w:bCs/>
          <w:sz w:val="28"/>
          <w:szCs w:val="28"/>
          <w:bdr w:val="none" w:color="auto" w:sz="0" w:space="0"/>
        </w:rPr>
        <w:t>国际船舶保安证书核发</w:t>
      </w:r>
    </w:p>
    <w:bookmarkEnd w:id="0"/>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一、行政许可的内容</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国际船舶保安证书</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二、行政许可的依据</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w:t>
      </w:r>
      <w:r>
        <w:rPr>
          <w:rStyle w:val="4"/>
          <w:rFonts w:hint="eastAsia" w:asciiTheme="minorEastAsia" w:hAnsiTheme="minorEastAsia" w:eastAsiaTheme="minorEastAsia" w:cstheme="minorEastAsia"/>
          <w:b/>
          <w:bdr w:val="none" w:color="auto" w:sz="0" w:space="0"/>
        </w:rPr>
        <w:t>1、设定依据：</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《国务院对确需保留的行政审批项目设定行政许可的决定》（中华人民共和国国务院令第412号）(见附件1)</w:t>
      </w:r>
      <w:r>
        <w:rPr>
          <w:rFonts w:hint="eastAsia" w:asciiTheme="minorEastAsia" w:hAnsiTheme="minorEastAsia" w:eastAsiaTheme="minorEastAsia" w:cstheme="minorEastAsia"/>
          <w:bdr w:val="none" w:color="auto" w:sz="0" w:space="0"/>
        </w:rPr>
        <w:br w:type="textWrapping"/>
      </w:r>
      <w:r>
        <w:rPr>
          <w:rStyle w:val="4"/>
          <w:rFonts w:hint="eastAsia" w:asciiTheme="minorEastAsia" w:hAnsiTheme="minorEastAsia" w:eastAsiaTheme="minorEastAsia" w:cstheme="minorEastAsia"/>
          <w:b/>
          <w:bdr w:val="none" w:color="auto" w:sz="0" w:space="0"/>
        </w:rPr>
        <w:t>　　2、办理依据：</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(1)《国际船舶和港口设施保安规则》(见附件2)</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(2)《中华人民共和国海事行政许可条件规定》（交通部令2006年第1号）(见附件3)</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(3)《船舶保安规则》（交海发[2004]315号）(见附件4)</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三、行政许可的条件</w:t>
      </w:r>
      <w:r>
        <w:rPr>
          <w:rStyle w:val="4"/>
          <w:rFonts w:hint="eastAsia" w:asciiTheme="minorEastAsia" w:hAnsiTheme="minorEastAsia" w:eastAsiaTheme="minorEastAsia" w:cstheme="minorEastAsia"/>
          <w:b/>
          <w:bdr w:val="none" w:color="auto" w:sz="0" w:space="0"/>
        </w:rPr>
        <w:br w:type="textWrapping"/>
      </w:r>
      <w:r>
        <w:rPr>
          <w:rStyle w:val="4"/>
          <w:rFonts w:hint="eastAsia" w:asciiTheme="minorEastAsia" w:hAnsiTheme="minorEastAsia" w:eastAsiaTheme="minorEastAsia" w:cstheme="minorEastAsia"/>
          <w:b/>
          <w:bdr w:val="none" w:color="auto" w:sz="0" w:space="0"/>
        </w:rPr>
        <w:t>　　1、船舶保安计划批准：</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(1)船舶已通过船舶保安评估；</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(2)船舶保安计划由船公司或者规定的保安组织编制；</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(3)船舶保安计划符合相应的编制规范和船舶的保安要求；</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(4)已对船舶保安评估发现的缺陷予以纠正或者作出妥善的安排。</w:t>
      </w:r>
      <w:r>
        <w:rPr>
          <w:rFonts w:hint="eastAsia" w:asciiTheme="minorEastAsia" w:hAnsiTheme="minorEastAsia" w:eastAsiaTheme="minorEastAsia" w:cstheme="minorEastAsia"/>
          <w:bdr w:val="none" w:color="auto" w:sz="0" w:space="0"/>
        </w:rPr>
        <w:br w:type="textWrapping"/>
      </w:r>
      <w:r>
        <w:rPr>
          <w:rStyle w:val="4"/>
          <w:rFonts w:hint="eastAsia" w:asciiTheme="minorEastAsia" w:hAnsiTheme="minorEastAsia" w:eastAsiaTheme="minorEastAsia" w:cstheme="minorEastAsia"/>
          <w:b/>
          <w:bdr w:val="none" w:color="auto" w:sz="0" w:space="0"/>
        </w:rPr>
        <w:t>　　2、国际船舶保安证书：</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(1)船舶具备有效的船舶国籍证书和《连续概要记录》；</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(2)船舶按照规定标注了永久识别号，并按规定配备了满足《1974年国际人命安全公约》要求的船舶保安报警系统；</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(3)船舶按照规定配备了合格的船舶保安员；</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(4)船舶具有经批准的《船舶保安计划》；</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(5)船舶已通过保安核验。</w:t>
      </w:r>
      <w:r>
        <w:rPr>
          <w:rFonts w:hint="eastAsia" w:asciiTheme="minorEastAsia" w:hAnsiTheme="minorEastAsia" w:eastAsiaTheme="minorEastAsia" w:cstheme="minorEastAsia"/>
          <w:bdr w:val="none" w:color="auto" w:sz="0" w:space="0"/>
        </w:rPr>
        <w:br w:type="textWrapping"/>
      </w:r>
      <w:r>
        <w:rPr>
          <w:rStyle w:val="4"/>
          <w:rFonts w:hint="eastAsia" w:asciiTheme="minorEastAsia" w:hAnsiTheme="minorEastAsia" w:eastAsiaTheme="minorEastAsia" w:cstheme="minorEastAsia"/>
          <w:b/>
          <w:bdr w:val="none" w:color="auto" w:sz="0" w:space="0"/>
        </w:rPr>
        <w:t>　　3、临时国际船舶保安证书：</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(1)符合下列情形之一：</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① 船舶在交船时或者在投入营运、重新投入营运之前，尚未取得《国际船舶保安证书》；</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②船舶的国籍从非中国籍变更为中国籍；</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③ 船舶由以前未经营过这类船舶的公民、法人或者其他组织承担了经营责任。</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(2)船舶已通过船舶保安评估；</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(3)船上配有符合要求且已提交审核、报批并已付诸实施的《船舶保安计划》副本；</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(4)船舶按照规定标注了永久识别号，并按规定配备了满足《1974年国际人命安全公约》要求的船舶保安报警系统；</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(5)公司保安员对船舶保安核验工作已作计划与安排，并承诺船舶将在6个月内通过保安核验；</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(6)船舶已配备符合保安要求的船舶保安员；</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(7)船长、船舶保安员和承担具体保安职责的其他船舶人员熟悉保安职责和责任、熟悉《船舶保安计划》的有关规定。</w:t>
      </w:r>
    </w:p>
    <w:p>
      <w:pPr>
        <w:pStyle w:val="2"/>
        <w:keepNext w:val="0"/>
        <w:keepLines w:val="0"/>
        <w:widowControl/>
        <w:suppressLineNumbers w:val="0"/>
        <w:ind w:left="0" w:right="0"/>
        <w:rPr>
          <w:rFonts w:hint="eastAsia" w:asciiTheme="minorEastAsia" w:hAnsiTheme="minorEastAsia" w:eastAsiaTheme="minorEastAsia" w:cstheme="minorEastAsia"/>
        </w:rPr>
      </w:pPr>
      <w:r>
        <w:rPr>
          <w:rFonts w:hint="eastAsia" w:asciiTheme="minorEastAsia" w:hAnsiTheme="minorEastAsia" w:eastAsiaTheme="minorEastAsia" w:cstheme="minorEastAsia"/>
          <w:bdr w:val="none" w:color="auto" w:sz="0" w:space="0"/>
        </w:rPr>
        <w:t>　</w:t>
      </w:r>
      <w:r>
        <w:rPr>
          <w:rStyle w:val="4"/>
          <w:rFonts w:hint="eastAsia" w:asciiTheme="minorEastAsia" w:hAnsiTheme="minorEastAsia" w:eastAsiaTheme="minorEastAsia" w:cstheme="minorEastAsia"/>
          <w:b/>
          <w:bdr w:val="none" w:color="auto" w:sz="0" w:space="0"/>
        </w:rPr>
        <w:t>　四、行政许可的数量</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xml:space="preserve">　　无数量限制 </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五、申请人需要提交的全部材料目录</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w:t>
      </w:r>
      <w:r>
        <w:rPr>
          <w:rStyle w:val="4"/>
          <w:rFonts w:hint="eastAsia" w:asciiTheme="minorEastAsia" w:hAnsiTheme="minorEastAsia" w:eastAsiaTheme="minorEastAsia" w:cstheme="minorEastAsia"/>
          <w:b/>
          <w:bdr w:val="none" w:color="auto" w:sz="0" w:space="0"/>
        </w:rPr>
        <w:t>1、船舶保安计划批准：</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(1)《船舶保安计划》审批申请书（一式二份）；</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(2)船舶保安评估报告；</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(3)船舶保安计划；</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(4)船舶保安计划编制机构的资质证明（CCS申请书格式应该有编制人栏目）；</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(5)等效船舶保安设备的技术文件（《船舶保安计划》批准后保安设备变更）；</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(6)申请人的身份证明及委托文件；</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(7)船舶保安评估缺陷纠正情况（必要时）。</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w:t>
      </w:r>
      <w:r>
        <w:rPr>
          <w:rStyle w:val="4"/>
          <w:rFonts w:hint="eastAsia" w:asciiTheme="minorEastAsia" w:hAnsiTheme="minorEastAsia" w:eastAsiaTheme="minorEastAsia" w:cstheme="minorEastAsia"/>
          <w:b/>
          <w:bdr w:val="none" w:color="auto" w:sz="0" w:space="0"/>
        </w:rPr>
        <w:t>2、国际船舶保安证书：</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(1)船舶保安认证申请书（一式二份）；</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(2)申请人的身份证明及委托文件；</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(3)经批准的《船舶保安计划》和评估报告、核验报告、已安装报警装置的证明；</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(4)船舶国籍证书和《连续概要记录》；</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(5)船舶配备的保安员证书。</w:t>
      </w:r>
      <w:r>
        <w:rPr>
          <w:rFonts w:hint="eastAsia" w:asciiTheme="minorEastAsia" w:hAnsiTheme="minorEastAsia" w:eastAsiaTheme="minorEastAsia" w:cstheme="minorEastAsia"/>
          <w:bdr w:val="none" w:color="auto" w:sz="0" w:space="0"/>
        </w:rPr>
        <w:br w:type="textWrapping"/>
      </w:r>
      <w:r>
        <w:rPr>
          <w:rStyle w:val="4"/>
          <w:rFonts w:hint="eastAsia" w:asciiTheme="minorEastAsia" w:hAnsiTheme="minorEastAsia" w:eastAsiaTheme="minorEastAsia" w:cstheme="minorEastAsia"/>
          <w:b/>
          <w:bdr w:val="none" w:color="auto" w:sz="0" w:space="0"/>
        </w:rPr>
        <w:t>　　3、临时国际船舶保安证书：</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(1)船舶保安认证申请书（一式二份）；</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(2)船舶保安评估报告；</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(3)船舶保安计划；</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(4)演练、演习和内部审核计划；</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(5)保安核验工作计划；</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(6)船舶配备的保安员证书。</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六、申请书示范文本</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无</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七、申请书受理机构</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交通部海事局(北京建国门内大街11号)</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电话：010-65293200</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办公时间：周一至周五；8:30-11:30，14:00-16:00</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八、申请书受理期限</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无期限限制</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九、申请书递交方式</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xml:space="preserve">　　办公现场递交或通过信函、网上申报（必要时）等方式递交。 </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十、行政许可的程序</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w:t>
      </w:r>
      <w:r>
        <w:rPr>
          <w:rStyle w:val="4"/>
          <w:rFonts w:hint="eastAsia" w:asciiTheme="minorEastAsia" w:hAnsiTheme="minorEastAsia" w:eastAsiaTheme="minorEastAsia" w:cstheme="minorEastAsia"/>
          <w:b/>
          <w:bdr w:val="none" w:color="auto" w:sz="0" w:space="0"/>
        </w:rPr>
        <w:t>1、船舶保安计划批准：</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(1)行政许可相对人向交通部海事局提出申请，报送相关材料；</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(2)交通部海事局受理，申请审查材料；</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(3)专门机构进行船舶保安评估；</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(4)交通部海事局审定同意的，批准《船舶保安计划》；不符合条件的，不予许可并说明理由。</w:t>
      </w:r>
      <w:r>
        <w:rPr>
          <w:rFonts w:hint="eastAsia" w:asciiTheme="minorEastAsia" w:hAnsiTheme="minorEastAsia" w:eastAsiaTheme="minorEastAsia" w:cstheme="minorEastAsia"/>
          <w:bdr w:val="none" w:color="auto" w:sz="0" w:space="0"/>
        </w:rPr>
        <w:br w:type="textWrapping"/>
      </w:r>
      <w:r>
        <w:rPr>
          <w:rStyle w:val="4"/>
          <w:rFonts w:hint="eastAsia" w:asciiTheme="minorEastAsia" w:hAnsiTheme="minorEastAsia" w:eastAsiaTheme="minorEastAsia" w:cstheme="minorEastAsia"/>
          <w:b/>
          <w:bdr w:val="none" w:color="auto" w:sz="0" w:space="0"/>
        </w:rPr>
        <w:t>　　2、国际船舶保安证书或临时国际船舶保安证书：</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(1)行政许可相对人向交通部海事局提出申请，报送相关材料；</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(2)交通部海事局受理申请，审查材料；</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(3)专门机构进行船舶保安核验；</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(4)交通部海事局审定同意发证的，签发《国际船舶保安证书》或者《临时国际船舶保安证书》。审定不同意发证的，不予许可并说明理由。</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十一、行政许可申请审批时限</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20个工作日（不包括专门机构进行船舶保安评估、核验的时间）</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十二、行政许可的收费依据及标准</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发证不收费</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十三、申请人及公众对审批结果的意见反映方式</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xml:space="preserve">　　信函、电子邮件、电话、其他。 </w:t>
      </w:r>
    </w:p>
    <w:p>
      <w:pPr>
        <w:pStyle w:val="2"/>
        <w:keepNext w:val="0"/>
        <w:keepLines w:val="0"/>
        <w:widowControl/>
        <w:suppressLineNumbers w:val="0"/>
        <w:ind w:left="0" w:right="0"/>
        <w:rPr>
          <w:rFonts w:hint="eastAsia" w:asciiTheme="minorEastAsia" w:hAnsiTheme="minorEastAsia" w:eastAsiaTheme="minorEastAsia" w:cstheme="minorEastAsia"/>
        </w:rPr>
      </w:pPr>
      <w:r>
        <w:rPr>
          <w:rStyle w:val="4"/>
          <w:rFonts w:hint="eastAsia" w:asciiTheme="minorEastAsia" w:hAnsiTheme="minorEastAsia" w:eastAsiaTheme="minorEastAsia" w:cstheme="minorEastAsia"/>
          <w:b/>
          <w:bdr w:val="none" w:color="auto" w:sz="0" w:space="0"/>
        </w:rPr>
        <w:t>　　十四、行政许可的监督部门及投诉渠道</w:t>
      </w:r>
      <w:r>
        <w:rPr>
          <w:rStyle w:val="4"/>
          <w:rFonts w:hint="eastAsia" w:asciiTheme="minorEastAsia" w:hAnsiTheme="minorEastAsia" w:eastAsiaTheme="minorEastAsia" w:cstheme="minorEastAsia"/>
          <w:b/>
          <w:bdr w:val="none" w:color="auto" w:sz="0" w:space="0"/>
        </w:rPr>
        <w:br w:type="textWrapping"/>
      </w:r>
      <w:r>
        <w:rPr>
          <w:rFonts w:hint="eastAsia" w:asciiTheme="minorEastAsia" w:hAnsiTheme="minorEastAsia" w:eastAsiaTheme="minorEastAsia" w:cstheme="minorEastAsia"/>
          <w:bdr w:val="none" w:color="auto" w:sz="0" w:space="0"/>
        </w:rPr>
        <w:t>　　交通部及省级交通主管部门监察机构与法制机构。</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xml:space="preserve">　　交通部监察机构与法制机构地址：北京市建国门内大街11号 交通部大楼 邮编：100736 </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监察机构电话：010-65292922 电子邮箱：jjzhc@moc.gov.cn</w:t>
      </w:r>
      <w:r>
        <w:rPr>
          <w:rFonts w:hint="eastAsia" w:asciiTheme="minorEastAsia" w:hAnsiTheme="minorEastAsia" w:eastAsiaTheme="minorEastAsia" w:cstheme="minorEastAsia"/>
          <w:bdr w:val="none" w:color="auto" w:sz="0" w:space="0"/>
        </w:rPr>
        <w:br w:type="textWrapping"/>
      </w:r>
      <w:r>
        <w:rPr>
          <w:rFonts w:hint="eastAsia" w:asciiTheme="minorEastAsia" w:hAnsiTheme="minorEastAsia" w:eastAsiaTheme="minorEastAsia" w:cstheme="minorEastAsia"/>
          <w:bdr w:val="none" w:color="auto" w:sz="0" w:space="0"/>
        </w:rPr>
        <w:t>　　法制机构电话：010-65292658 电子邮箱：tfszhc@moc.gov.cn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B2CA7"/>
    <w:rsid w:val="266B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7AB7"/>
      <w:u w:val="none"/>
    </w:rPr>
  </w:style>
  <w:style w:type="character" w:styleId="6">
    <w:name w:val="HTML Definition"/>
    <w:basedOn w:val="3"/>
    <w:uiPriority w:val="0"/>
    <w:rPr>
      <w:i/>
      <w:shd w:val="clear" w:fill="D9534F"/>
    </w:rPr>
  </w:style>
  <w:style w:type="character" w:styleId="7">
    <w:name w:val="Hyperlink"/>
    <w:basedOn w:val="3"/>
    <w:uiPriority w:val="0"/>
    <w:rPr>
      <w:color w:val="337AB7"/>
      <w:u w:val="none"/>
    </w:rPr>
  </w:style>
  <w:style w:type="character" w:styleId="8">
    <w:name w:val="HTML Code"/>
    <w:basedOn w:val="3"/>
    <w:uiPriority w:val="0"/>
    <w:rPr>
      <w:rFonts w:hint="default" w:ascii="Menlo" w:hAnsi="Menlo" w:eastAsia="Menlo" w:cs="Menlo"/>
      <w:color w:val="C7254E"/>
      <w:sz w:val="21"/>
      <w:szCs w:val="21"/>
      <w:bdr w:val="none" w:color="auto" w:sz="0" w:space="0"/>
      <w:shd w:val="clear" w:fill="F9F2F4"/>
    </w:rPr>
  </w:style>
  <w:style w:type="character" w:styleId="9">
    <w:name w:val="HTML Keyboard"/>
    <w:basedOn w:val="3"/>
    <w:uiPriority w:val="0"/>
    <w:rPr>
      <w:rFonts w:hint="default" w:ascii="Menlo" w:hAnsi="Menlo" w:eastAsia="Menlo" w:cs="Menlo"/>
      <w:color w:val="FFFFFF"/>
      <w:sz w:val="21"/>
      <w:szCs w:val="21"/>
      <w:bdr w:val="none" w:color="auto" w:sz="0" w:space="0"/>
      <w:shd w:val="clear" w:fill="333333"/>
    </w:rPr>
  </w:style>
  <w:style w:type="character" w:styleId="10">
    <w:name w:val="HTML Sample"/>
    <w:basedOn w:val="3"/>
    <w:uiPriority w:val="0"/>
    <w:rPr>
      <w:rFonts w:ascii="Menlo" w:hAnsi="Menlo" w:eastAsia="Menlo" w:cs="Menlo"/>
      <w:sz w:val="21"/>
      <w:szCs w:val="21"/>
    </w:rPr>
  </w:style>
  <w:style w:type="character" w:customStyle="1" w:styleId="12">
    <w:name w:val="badge18"/>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2020-02-21T10:38:00Z</dcterms:created>
  <dc:creator>断桥残雪</dc:creator>
  <cp:lastModifiedBy>断桥残雪</cp:lastModifiedBy>
  <dcterms:modified xsi:type="dcterms:W3CDTF">2020-02-21T10:40:37Z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